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2684A">
      <w:pPr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ahoma" w:eastAsia="Times New Roman" w:hAnsi="Tahoma" w:cs="Tahoma"/>
          <w:sz w:val="24"/>
          <w:szCs w:val="24"/>
        </w:rPr>
        <w:t>﻿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ORDIN nr. 2.634 din 5 noiembrie 2015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>privind documentele financiar-contabile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</w:rPr>
        <w:t>EMITENT: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Ministerul Finanţelor Publice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</w:rPr>
        <w:t>PUBLICAT ÎN: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Monitorul Oficial nr. 910 din 9 decembrie 2015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</w:rPr>
        <w:t>Data Intrarii in vigoare: 01 Ianuarie 2016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>-------------------------------------------------------------------------</w:t>
      </w:r>
      <w:r>
        <w:rPr>
          <w:rFonts w:ascii="Times New Roman" w:eastAsia="Times New Roman" w:hAnsi="Times New Roman"/>
          <w:sz w:val="24"/>
          <w:szCs w:val="24"/>
        </w:rPr>
        <w:br/>
        <w:t> privind organizarea şi funcţionarea Ministerului Finanţelor Publice, cu modificările şi completările ulterioare,</w:t>
      </w:r>
      <w:r>
        <w:rPr>
          <w:rFonts w:ascii="Times New Roman" w:eastAsia="Times New Roman" w:hAnsi="Times New Roman"/>
          <w:sz w:val="24"/>
          <w:szCs w:val="24"/>
        </w:rPr>
        <w:br/>
        <w:t>    având în vedere prevederile art. 4 alin. (1) şi art. 25 alin. (2</w:t>
      </w:r>
      <w:r>
        <w:rPr>
          <w:rFonts w:ascii="Times New Roman" w:eastAsia="Times New Roman" w:hAnsi="Times New Roman"/>
          <w:sz w:val="24"/>
          <w:szCs w:val="24"/>
        </w:rPr>
        <w:t>) din Legea contabilităţii nr. 82/1991, republicată, cu modificările şi completările ulterioare,</w:t>
      </w:r>
      <w:r>
        <w:rPr>
          <w:rFonts w:ascii="Times New Roman" w:eastAsia="Times New Roman" w:hAnsi="Times New Roman"/>
          <w:sz w:val="24"/>
          <w:szCs w:val="24"/>
        </w:rPr>
        <w:br/>
        <w:t>    ministrul finanţelor publice emite următorul ordin:</w:t>
      </w:r>
      <w:r>
        <w:rPr>
          <w:rFonts w:ascii="Times New Roman" w:eastAsia="Times New Roman" w:hAnsi="Times New Roman"/>
          <w:sz w:val="24"/>
          <w:szCs w:val="24"/>
        </w:rPr>
        <w:br/>
        <w:t>     ART. 1</w:t>
      </w:r>
      <w:r>
        <w:rPr>
          <w:rFonts w:ascii="Times New Roman" w:eastAsia="Times New Roman" w:hAnsi="Times New Roman"/>
          <w:sz w:val="24"/>
          <w:szCs w:val="24"/>
        </w:rPr>
        <w:br/>
        <w:t>    Se aprobă Normele generale de întocmire şi utilizare a documentelor financiar-contabile</w:t>
      </w:r>
      <w:r>
        <w:rPr>
          <w:rFonts w:ascii="Times New Roman" w:eastAsia="Times New Roman" w:hAnsi="Times New Roman"/>
          <w:sz w:val="24"/>
          <w:szCs w:val="24"/>
        </w:rPr>
        <w:t xml:space="preserve"> cuprinse în anexa nr. 1.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     ART. 2</w:t>
      </w:r>
      <w:r>
        <w:rPr>
          <w:rFonts w:ascii="Times New Roman" w:eastAsia="Times New Roman" w:hAnsi="Times New Roman"/>
          <w:sz w:val="24"/>
          <w:szCs w:val="24"/>
        </w:rPr>
        <w:br/>
        <w:t>    Se aprobă Normele specifice de utilizare a documentelor financiar-contabile cuprinse în anexa nr. 2*).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     ART. 3</w:t>
      </w:r>
      <w:r>
        <w:rPr>
          <w:rFonts w:ascii="Times New Roman" w:eastAsia="Times New Roman" w:hAnsi="Times New Roman"/>
          <w:sz w:val="24"/>
          <w:szCs w:val="24"/>
        </w:rPr>
        <w:br/>
        <w:t>    Elementele obligatorii pe care trebuie să le conţină documentele financiar-contabile sunt cel</w:t>
      </w:r>
      <w:r>
        <w:rPr>
          <w:rFonts w:ascii="Times New Roman" w:eastAsia="Times New Roman" w:hAnsi="Times New Roman"/>
          <w:sz w:val="24"/>
          <w:szCs w:val="24"/>
        </w:rPr>
        <w:t>e prevăzute la pct. 2 şi 10 din anexa nr. 1.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     ART. 4</w:t>
      </w:r>
      <w:r>
        <w:rPr>
          <w:rFonts w:ascii="Times New Roman" w:eastAsia="Times New Roman" w:hAnsi="Times New Roman"/>
          <w:sz w:val="24"/>
          <w:szCs w:val="24"/>
        </w:rPr>
        <w:br/>
        <w:t>    (1) Modelele documentelor financiar-contabile sunt cuprinse în anexa nr. 3*).</w:t>
      </w:r>
      <w:r>
        <w:rPr>
          <w:rFonts w:ascii="Times New Roman" w:eastAsia="Times New Roman" w:hAnsi="Times New Roman"/>
          <w:sz w:val="24"/>
          <w:szCs w:val="24"/>
        </w:rPr>
        <w:br/>
        <w:t>    (2) Fiecare entitate poate adapta, în funcţie de necesităţi, modelele documentelor financiar-contabile.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   (3) </w:t>
      </w:r>
      <w:r>
        <w:rPr>
          <w:rFonts w:ascii="Times New Roman" w:eastAsia="Times New Roman" w:hAnsi="Times New Roman"/>
          <w:sz w:val="24"/>
          <w:szCs w:val="24"/>
        </w:rPr>
        <w:t>Circuitul documentelor financiar-contabile şi numărul de exemplare al acestora se stabilesc prin proceduri proprii privind organizarea şi conducerea contabilităţii, aprobate de administratorul entităţii, ordonatorul de credite sau altă persoană care are ob</w:t>
      </w:r>
      <w:r>
        <w:rPr>
          <w:rFonts w:ascii="Times New Roman" w:eastAsia="Times New Roman" w:hAnsi="Times New Roman"/>
          <w:sz w:val="24"/>
          <w:szCs w:val="24"/>
        </w:rPr>
        <w:t>ligaţia gestionării entităţii respective.</w:t>
      </w:r>
      <w:r>
        <w:rPr>
          <w:rFonts w:ascii="Times New Roman" w:eastAsia="Times New Roman" w:hAnsi="Times New Roman"/>
          <w:sz w:val="24"/>
          <w:szCs w:val="24"/>
        </w:rPr>
        <w:br/>
        <w:t>──────────</w:t>
      </w:r>
      <w:r>
        <w:rPr>
          <w:rFonts w:ascii="Times New Roman" w:eastAsia="Times New Roman" w:hAnsi="Times New Roman"/>
          <w:sz w:val="24"/>
          <w:szCs w:val="24"/>
        </w:rPr>
        <w:br/>
        <w:t>    *) Anexele nr. 2 şi 3 se publică în Monitorul Oficial al României, Partea I, nr. 910 bis, care se poate achiziţiona de la Centrul pentru relaţii cu publicul al Regiei Autonome "Monitorul Oficial", Bu</w:t>
      </w:r>
      <w:r>
        <w:rPr>
          <w:rFonts w:ascii="Times New Roman" w:eastAsia="Times New Roman" w:hAnsi="Times New Roman"/>
          <w:sz w:val="24"/>
          <w:szCs w:val="24"/>
        </w:rPr>
        <w:t>cureşti, şos. Panduri nr. 1.</w:t>
      </w:r>
      <w:r>
        <w:rPr>
          <w:rFonts w:ascii="Times New Roman" w:eastAsia="Times New Roman" w:hAnsi="Times New Roman"/>
          <w:sz w:val="24"/>
          <w:szCs w:val="24"/>
        </w:rPr>
        <w:br/>
        <w:t>──────────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     ART. 5</w:t>
      </w:r>
      <w:r>
        <w:rPr>
          <w:rFonts w:ascii="Times New Roman" w:eastAsia="Times New Roman" w:hAnsi="Times New Roman"/>
          <w:sz w:val="24"/>
          <w:szCs w:val="24"/>
        </w:rPr>
        <w:br/>
        <w:t>    Se aprobă documentele financiar-contabile care se păstrează timp de 5 ani, cu începere de la data încheierii exerciţiului financiar în cursul căruia au fost întocmite, în arhiva persoanelor prevăzute</w:t>
      </w:r>
      <w:r>
        <w:rPr>
          <w:rFonts w:ascii="Times New Roman" w:eastAsia="Times New Roman" w:hAnsi="Times New Roman"/>
          <w:sz w:val="24"/>
          <w:szCs w:val="24"/>
        </w:rPr>
        <w:t xml:space="preserve"> la art. 1 alin. (1)-(4) din Legea contabilităţii nr. 82/1991, republicată, cu modificările şi completările ulterioare, cuprinse în anexa nr. 4.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     ART. 6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lastRenderedPageBreak/>
        <w:t>    Persoanele prevăzute la art. 1 alin. (1)-(4) din Legea nr. 82/1991, republicată, cu modificări</w:t>
      </w:r>
      <w:r>
        <w:rPr>
          <w:rFonts w:ascii="Times New Roman" w:eastAsia="Times New Roman" w:hAnsi="Times New Roman"/>
          <w:sz w:val="24"/>
          <w:szCs w:val="24"/>
        </w:rPr>
        <w:t>le şi completările ulterioare, care desfăşoară activităţi specifice anumitor domenii de activitate pentru care legislaţia aplicabilă prevede folosirea şi a altor documente, aplică în mod corespunzător şi reglementările specifice.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     ART. 7</w:t>
      </w:r>
      <w:r>
        <w:rPr>
          <w:rFonts w:ascii="Times New Roman" w:eastAsia="Times New Roman" w:hAnsi="Times New Roman"/>
          <w:sz w:val="24"/>
          <w:szCs w:val="24"/>
        </w:rPr>
        <w:br/>
        <w:t>    Anexele n</w:t>
      </w:r>
      <w:r>
        <w:rPr>
          <w:rFonts w:ascii="Times New Roman" w:eastAsia="Times New Roman" w:hAnsi="Times New Roman"/>
          <w:sz w:val="24"/>
          <w:szCs w:val="24"/>
        </w:rPr>
        <w:t>r. 1-4 fac parte integrantă din prezentul ordin.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     ART. 8</w:t>
      </w:r>
      <w:r>
        <w:rPr>
          <w:rFonts w:ascii="Times New Roman" w:eastAsia="Times New Roman" w:hAnsi="Times New Roman"/>
          <w:sz w:val="24"/>
          <w:szCs w:val="24"/>
        </w:rPr>
        <w:br/>
        <w:t>    Prevederile prezentului ordin se aplică începând cu data de 1 ianuarie 2016.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     ART. 9</w:t>
      </w:r>
      <w:r>
        <w:rPr>
          <w:rFonts w:ascii="Times New Roman" w:eastAsia="Times New Roman" w:hAnsi="Times New Roman"/>
          <w:sz w:val="24"/>
          <w:szCs w:val="24"/>
        </w:rPr>
        <w:br/>
        <w:t>    La data intrării în vigoare a prezentului ordin se abrogă: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   a) Ordinul ministrului economiei </w:t>
      </w:r>
      <w:r>
        <w:rPr>
          <w:rFonts w:ascii="Times New Roman" w:eastAsia="Times New Roman" w:hAnsi="Times New Roman"/>
          <w:sz w:val="24"/>
          <w:szCs w:val="24"/>
        </w:rPr>
        <w:t>şi finanţelor nr. 3.512/2008 privind documentele financiar-contabile, publicat în Monitorul Oficial al României, Partea I, nr. 870 şi 870 bis din 23 decembrie 2008, cu modificările şi completările ulterioare;</w:t>
      </w:r>
      <w:r>
        <w:rPr>
          <w:rFonts w:ascii="Times New Roman" w:eastAsia="Times New Roman" w:hAnsi="Times New Roman"/>
          <w:sz w:val="24"/>
          <w:szCs w:val="24"/>
        </w:rPr>
        <w:br/>
        <w:t>    b) Ordinul ministrului finanţelor publice n</w:t>
      </w:r>
      <w:r>
        <w:rPr>
          <w:rFonts w:ascii="Times New Roman" w:eastAsia="Times New Roman" w:hAnsi="Times New Roman"/>
          <w:sz w:val="24"/>
          <w:szCs w:val="24"/>
        </w:rPr>
        <w:t>r. 2.226/2006 privind utilizarea unor formulare financiar-contabile de către persoanele prevăzute la art. 1 din Legea contabilităţii nr. 82/1991, republicată, publicat în Monitorul Oficial al României, Partea I, nr. 1.056 din 30 decembrie 2006, cu modifică</w:t>
      </w:r>
      <w:r>
        <w:rPr>
          <w:rFonts w:ascii="Times New Roman" w:eastAsia="Times New Roman" w:hAnsi="Times New Roman"/>
          <w:sz w:val="24"/>
          <w:szCs w:val="24"/>
        </w:rPr>
        <w:t>rile ulterioare.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     ART. 10</w:t>
      </w:r>
      <w:r>
        <w:rPr>
          <w:rFonts w:ascii="Times New Roman" w:eastAsia="Times New Roman" w:hAnsi="Times New Roman"/>
          <w:sz w:val="24"/>
          <w:szCs w:val="24"/>
        </w:rPr>
        <w:br/>
        <w:t>    Prezentul ordin se publică în Monitorul Oficial al României, Partea I.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                    Ministrul finanţelor publice,</w:t>
      </w:r>
      <w:r>
        <w:rPr>
          <w:rFonts w:ascii="Times New Roman" w:eastAsia="Times New Roman" w:hAnsi="Times New Roman"/>
          <w:sz w:val="24"/>
          <w:szCs w:val="24"/>
        </w:rPr>
        <w:br/>
        <w:t>                    Eugen Orlando Teodorovici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    Bucureşti, 5 noiembrie 2015.</w:t>
      </w:r>
      <w:r>
        <w:rPr>
          <w:rFonts w:ascii="Times New Roman" w:eastAsia="Times New Roman" w:hAnsi="Times New Roman"/>
          <w:sz w:val="24"/>
          <w:szCs w:val="24"/>
        </w:rPr>
        <w:br/>
        <w:t>    Nr. 2.634.</w:t>
      </w:r>
      <w:r>
        <w:rPr>
          <w:rFonts w:ascii="Times New Roman" w:eastAsia="Times New Roman" w:hAnsi="Times New Roman"/>
          <w:sz w:val="24"/>
          <w:szCs w:val="24"/>
        </w:rPr>
        <w:br/>
        <w:t>  </w:t>
      </w:r>
      <w:r>
        <w:rPr>
          <w:rFonts w:ascii="Times New Roman" w:eastAsia="Times New Roman" w:hAnsi="Times New Roman"/>
          <w:sz w:val="24"/>
          <w:szCs w:val="24"/>
        </w:rPr>
        <w:t>   ANEXA NR. 1</w:t>
      </w:r>
      <w:r>
        <w:rPr>
          <w:rFonts w:ascii="Times New Roman" w:eastAsia="Times New Roman" w:hAnsi="Times New Roman"/>
          <w:sz w:val="24"/>
          <w:szCs w:val="24"/>
        </w:rPr>
        <w:br/>
        <w:t>     NORME GENERALE</w:t>
      </w:r>
      <w:r>
        <w:rPr>
          <w:rFonts w:ascii="Times New Roman" w:eastAsia="Times New Roman" w:hAnsi="Times New Roman"/>
          <w:sz w:val="24"/>
          <w:szCs w:val="24"/>
        </w:rPr>
        <w:br/>
        <w:t>    de întocmire şi utilizare a documentelor financiar-contabile</w:t>
      </w:r>
      <w:r>
        <w:rPr>
          <w:rFonts w:ascii="Times New Roman" w:eastAsia="Times New Roman" w:hAnsi="Times New Roman"/>
          <w:sz w:val="24"/>
          <w:szCs w:val="24"/>
        </w:rPr>
        <w:br/>
        <w:t>     ANEXA NR. 2</w:t>
      </w:r>
      <w:r>
        <w:rPr>
          <w:rFonts w:ascii="Times New Roman" w:eastAsia="Times New Roman" w:hAnsi="Times New Roman"/>
          <w:sz w:val="24"/>
          <w:szCs w:val="24"/>
        </w:rPr>
        <w:br/>
        <w:t>     NORME SPECIFICE</w:t>
      </w:r>
      <w:r>
        <w:rPr>
          <w:rFonts w:ascii="Times New Roman" w:eastAsia="Times New Roman" w:hAnsi="Times New Roman"/>
          <w:sz w:val="24"/>
          <w:szCs w:val="24"/>
        </w:rPr>
        <w:br/>
        <w:t>    de utilizare a documentelor financiar-contabile</w:t>
      </w:r>
      <w:r>
        <w:rPr>
          <w:rFonts w:ascii="Times New Roman" w:eastAsia="Times New Roman" w:hAnsi="Times New Roman"/>
          <w:sz w:val="24"/>
          <w:szCs w:val="24"/>
        </w:rPr>
        <w:br/>
        <w:t>     ANEXA NR. 3</w:t>
      </w:r>
      <w:r>
        <w:rPr>
          <w:rFonts w:ascii="Times New Roman" w:eastAsia="Times New Roman" w:hAnsi="Times New Roman"/>
          <w:sz w:val="24"/>
          <w:szCs w:val="24"/>
        </w:rPr>
        <w:br/>
        <w:t>     MODELELE</w:t>
      </w:r>
      <w:r>
        <w:rPr>
          <w:rFonts w:ascii="Times New Roman" w:eastAsia="Times New Roman" w:hAnsi="Times New Roman"/>
          <w:sz w:val="24"/>
          <w:szCs w:val="24"/>
        </w:rPr>
        <w:br/>
        <w:t>    documentelor financiar-contabil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br/>
        <w:t>     ANEXA NR. 4</w:t>
      </w:r>
      <w:r>
        <w:rPr>
          <w:rFonts w:ascii="Times New Roman" w:eastAsia="Times New Roman" w:hAnsi="Times New Roman"/>
          <w:sz w:val="24"/>
          <w:szCs w:val="24"/>
        </w:rPr>
        <w:br/>
        <w:t>    DOCUMENTELE FINANCIAR-CONTABILE</w:t>
      </w:r>
      <w:r>
        <w:rPr>
          <w:rFonts w:ascii="Times New Roman" w:eastAsia="Times New Roman" w:hAnsi="Times New Roman"/>
          <w:sz w:val="24"/>
          <w:szCs w:val="24"/>
        </w:rPr>
        <w:br/>
        <w:t>    care se păstrează timp de 5 ani, cu începere de la</w:t>
      </w:r>
      <w:r>
        <w:rPr>
          <w:rFonts w:ascii="Times New Roman" w:eastAsia="Times New Roman" w:hAnsi="Times New Roman"/>
          <w:sz w:val="24"/>
          <w:szCs w:val="24"/>
        </w:rPr>
        <w:br/>
        <w:t>    data încheierii exerciţiului financiar în cursul căruia</w:t>
      </w:r>
      <w:r>
        <w:rPr>
          <w:rFonts w:ascii="Times New Roman" w:eastAsia="Times New Roman" w:hAnsi="Times New Roman"/>
          <w:sz w:val="24"/>
          <w:szCs w:val="24"/>
        </w:rPr>
        <w:br/>
        <w:t>    au fost întocmite, în arhiva persoanelor prevăzute la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lastRenderedPageBreak/>
        <w:t>     art. 1 alin. (1)-(4) di</w:t>
      </w:r>
      <w:r>
        <w:rPr>
          <w:rFonts w:ascii="Times New Roman" w:eastAsia="Times New Roman" w:hAnsi="Times New Roman"/>
          <w:sz w:val="24"/>
          <w:szCs w:val="24"/>
        </w:rPr>
        <w:t>n Legea contabilităţii nr. 82/1991,</w:t>
      </w:r>
      <w:r>
        <w:rPr>
          <w:rFonts w:ascii="Times New Roman" w:eastAsia="Times New Roman" w:hAnsi="Times New Roman"/>
          <w:sz w:val="24"/>
          <w:szCs w:val="24"/>
        </w:rPr>
        <w:br/>
        <w:t>    republicată cu modificările şi completările ulterioare</w:t>
      </w:r>
    </w:p>
    <w:p w:rsidR="00000000" w:rsidRDefault="0002684A">
      <w:pPr>
        <w:pStyle w:val="HTMLPreformatted"/>
        <w:divId w:val="1463381409"/>
        <w:rPr>
          <w:sz w:val="18"/>
          <w:szCs w:val="18"/>
        </w:rPr>
      </w:pPr>
      <w:r>
        <w:rPr>
          <w:sz w:val="18"/>
          <w:szCs w:val="18"/>
        </w:rPr>
        <w:br/>
        <w:t>    ┌────┬───────────────────────────────────────────────────┬─────────────────────┐</w:t>
      </w:r>
      <w:r>
        <w:rPr>
          <w:sz w:val="18"/>
          <w:szCs w:val="18"/>
        </w:rPr>
        <w:br/>
        <w:t>    │Nr. │                     Denumire                      │          Co</w:t>
      </w:r>
      <w:r>
        <w:rPr>
          <w:sz w:val="18"/>
          <w:szCs w:val="18"/>
        </w:rPr>
        <w:t>d        │</w:t>
      </w:r>
      <w:r>
        <w:rPr>
          <w:sz w:val="18"/>
          <w:szCs w:val="18"/>
        </w:rPr>
        <w:br/>
        <w:t>    │crt.│                                                   ├─────────┬───────────┤</w:t>
      </w:r>
      <w:r>
        <w:rPr>
          <w:sz w:val="18"/>
          <w:szCs w:val="18"/>
        </w:rPr>
        <w:br/>
        <w:t>    │    │                                                   │  Bază   │ Variantă  │</w:t>
      </w:r>
      <w:r>
        <w:rPr>
          <w:sz w:val="18"/>
          <w:szCs w:val="18"/>
        </w:rPr>
        <w:br/>
        <w:t>    ├────┼───────────────────────────────────────────────────┼─────────┼───</w:t>
      </w:r>
      <w:r>
        <w:rPr>
          <w:sz w:val="18"/>
          <w:szCs w:val="18"/>
        </w:rPr>
        <w:t>────────┤</w:t>
      </w:r>
      <w:r>
        <w:rPr>
          <w:sz w:val="18"/>
          <w:szCs w:val="18"/>
        </w:rPr>
        <w:br/>
        <w:t>    │  1.│Notă de recepţie şi constatare de diferenţe        │ 14-3-1A │           │</w:t>
      </w:r>
      <w:r>
        <w:rPr>
          <w:sz w:val="18"/>
          <w:szCs w:val="18"/>
        </w:rPr>
        <w:br/>
        <w:t>    ├────┼───────────────────────────────────────────────────┼─────────┼───────────┤</w:t>
      </w:r>
      <w:r>
        <w:rPr>
          <w:sz w:val="18"/>
          <w:szCs w:val="18"/>
        </w:rPr>
        <w:br/>
        <w:t xml:space="preserve">    │  2.│Bon de predare, transfer, restituire               │ 14-3-3A │    </w:t>
      </w:r>
      <w:r>
        <w:rPr>
          <w:sz w:val="18"/>
          <w:szCs w:val="18"/>
        </w:rPr>
        <w:t xml:space="preserve">       │</w:t>
      </w:r>
      <w:r>
        <w:rPr>
          <w:sz w:val="18"/>
          <w:szCs w:val="18"/>
        </w:rPr>
        <w:br/>
        <w:t>    ├────┼───────────────────────────────────────────────────┼─────────┼───────────┤</w:t>
      </w:r>
      <w:r>
        <w:rPr>
          <w:sz w:val="18"/>
          <w:szCs w:val="18"/>
        </w:rPr>
        <w:br/>
        <w:t>    │  3.│Bon de consum                                      │ 14-3-4A │           │</w:t>
      </w:r>
      <w:r>
        <w:rPr>
          <w:sz w:val="18"/>
          <w:szCs w:val="18"/>
        </w:rPr>
        <w:br/>
        <w:t>    ├────┼───────────────────────────────────────────────────┼─────────┼─────</w:t>
      </w:r>
      <w:r>
        <w:rPr>
          <w:sz w:val="18"/>
          <w:szCs w:val="18"/>
        </w:rPr>
        <w:t>──────┤</w:t>
      </w:r>
      <w:r>
        <w:rPr>
          <w:sz w:val="18"/>
          <w:szCs w:val="18"/>
        </w:rPr>
        <w:br/>
        <w:t>    │  4.│- Bon de consum (colectiv)                         │         │ 14-3-4/aA │</w:t>
      </w:r>
      <w:r>
        <w:rPr>
          <w:sz w:val="18"/>
          <w:szCs w:val="18"/>
        </w:rPr>
        <w:br/>
        <w:t>    ├────┼───────────────────────────────────────────────────┼─────────┼───────────┤</w:t>
      </w:r>
      <w:r>
        <w:rPr>
          <w:sz w:val="18"/>
          <w:szCs w:val="18"/>
        </w:rPr>
        <w:br/>
        <w:t>    │  5.│Lista zilnică de alimente                          │         │ 14-3-</w:t>
      </w:r>
      <w:r>
        <w:rPr>
          <w:sz w:val="18"/>
          <w:szCs w:val="18"/>
        </w:rPr>
        <w:t>4/dA │</w:t>
      </w:r>
      <w:r>
        <w:rPr>
          <w:sz w:val="18"/>
          <w:szCs w:val="18"/>
        </w:rPr>
        <w:br/>
        <w:t>    ├────┼───────────────────────────────────────────────────┼─────────┼───────────┤</w:t>
      </w:r>
      <w:r>
        <w:rPr>
          <w:sz w:val="18"/>
          <w:szCs w:val="18"/>
        </w:rPr>
        <w:br/>
        <w:t>    │  6.│Dispoziţie de livrare                              │ 14-3-5A │           │</w:t>
      </w:r>
      <w:r>
        <w:rPr>
          <w:sz w:val="18"/>
          <w:szCs w:val="18"/>
        </w:rPr>
        <w:br/>
        <w:t>    ├────┼───────────────────────────────────────────────────┼─────────┼───────</w:t>
      </w:r>
      <w:r>
        <w:rPr>
          <w:sz w:val="18"/>
          <w:szCs w:val="18"/>
        </w:rPr>
        <w:t>────┤</w:t>
      </w:r>
      <w:r>
        <w:rPr>
          <w:sz w:val="18"/>
          <w:szCs w:val="18"/>
        </w:rPr>
        <w:br/>
        <w:t>    │  7.│Fişă de magazie                                    │  14-3-8 │           │</w:t>
      </w:r>
      <w:r>
        <w:rPr>
          <w:sz w:val="18"/>
          <w:szCs w:val="18"/>
        </w:rPr>
        <w:br/>
        <w:t>    ├────┼───────────────────────────────────────────────────┼─────────┼───────────┤</w:t>
      </w:r>
      <w:r>
        <w:rPr>
          <w:sz w:val="18"/>
          <w:szCs w:val="18"/>
        </w:rPr>
        <w:br/>
        <w:t xml:space="preserve">    │  8.│Listă de inventariere                              │ 14-3-12 │        </w:t>
      </w:r>
      <w:r>
        <w:rPr>
          <w:sz w:val="18"/>
          <w:szCs w:val="18"/>
        </w:rPr>
        <w:t xml:space="preserve">   │</w:t>
      </w:r>
      <w:r>
        <w:rPr>
          <w:sz w:val="18"/>
          <w:szCs w:val="18"/>
        </w:rPr>
        <w:br/>
        <w:t>    ├────┼───────────────────────────────────────────────────┼─────────┼───────────┤</w:t>
      </w:r>
      <w:r>
        <w:rPr>
          <w:sz w:val="18"/>
          <w:szCs w:val="18"/>
        </w:rPr>
        <w:br/>
        <w:t>    │  9.│- Listă de inventariere                            │         │ 14-3-12/b │</w:t>
      </w:r>
      <w:r>
        <w:rPr>
          <w:sz w:val="18"/>
          <w:szCs w:val="18"/>
        </w:rPr>
        <w:br/>
        <w:t>    ├────┼───────────────────────────────────────────────────┼─────────┼─────────</w:t>
      </w:r>
      <w:r>
        <w:rPr>
          <w:sz w:val="18"/>
          <w:szCs w:val="18"/>
        </w:rPr>
        <w:t>──┤</w:t>
      </w:r>
      <w:r>
        <w:rPr>
          <w:sz w:val="18"/>
          <w:szCs w:val="18"/>
        </w:rPr>
        <w:br/>
        <w:t>    │ 10.│- Listă de inventariere (pentru gestiuni           │         │           │</w:t>
      </w:r>
      <w:r>
        <w:rPr>
          <w:sz w:val="18"/>
          <w:szCs w:val="18"/>
        </w:rPr>
        <w:br/>
        <w:t>    │    │global-valorice)                                   │         │ 14-3-12/a │</w:t>
      </w:r>
      <w:r>
        <w:rPr>
          <w:sz w:val="18"/>
          <w:szCs w:val="18"/>
        </w:rPr>
        <w:br/>
        <w:t>    ├────┼───────────────────────────────────────────────────┼─────────┼──────────</w:t>
      </w:r>
      <w:r>
        <w:rPr>
          <w:sz w:val="18"/>
          <w:szCs w:val="18"/>
        </w:rPr>
        <w:t>─┤</w:t>
      </w:r>
      <w:r>
        <w:rPr>
          <w:sz w:val="18"/>
          <w:szCs w:val="18"/>
        </w:rPr>
        <w:br/>
        <w:t>    │ 11.│Chitanţă                                           │  14-4-1 │           │</w:t>
      </w:r>
      <w:r>
        <w:rPr>
          <w:sz w:val="18"/>
          <w:szCs w:val="18"/>
        </w:rPr>
        <w:br/>
        <w:t>    ├────┼───────────────────────────────────────────────────┼─────────┼───────────┤</w:t>
      </w:r>
      <w:r>
        <w:rPr>
          <w:sz w:val="18"/>
          <w:szCs w:val="18"/>
        </w:rPr>
        <w:br/>
        <w:t xml:space="preserve">    │ 12.│- Chitanţă pentru operaţiuni în valută             │         │ 14-4-1/a  </w:t>
      </w:r>
      <w:r>
        <w:rPr>
          <w:sz w:val="18"/>
          <w:szCs w:val="18"/>
        </w:rPr>
        <w:t>│</w:t>
      </w:r>
      <w:r>
        <w:rPr>
          <w:sz w:val="18"/>
          <w:szCs w:val="18"/>
        </w:rPr>
        <w:br/>
        <w:t>    ├────┼───────────────────────────────────────────────────┼─────────┼───────────┤</w:t>
      </w:r>
      <w:r>
        <w:rPr>
          <w:sz w:val="18"/>
          <w:szCs w:val="18"/>
        </w:rPr>
        <w:br/>
        <w:t>    │ 13.│Dispoziţie de plată/încasare către casierie        │  14-4-4 │           │</w:t>
      </w:r>
      <w:r>
        <w:rPr>
          <w:sz w:val="18"/>
          <w:szCs w:val="18"/>
        </w:rPr>
        <w:br/>
        <w:t>    ├────┼───────────────────────────────────────────────────┼─────────┼───────────┤</w:t>
      </w:r>
      <w:r>
        <w:rPr>
          <w:sz w:val="18"/>
          <w:szCs w:val="18"/>
        </w:rPr>
        <w:br/>
        <w:t>    │ 14.│Borderou de achiziţie                              │ 14-4-13 │           │</w:t>
      </w:r>
      <w:r>
        <w:rPr>
          <w:sz w:val="18"/>
          <w:szCs w:val="18"/>
        </w:rPr>
        <w:br/>
        <w:t>    ├────┼───────────────────────────────────────────────────┼─────────┼───────────┤</w:t>
      </w:r>
      <w:r>
        <w:rPr>
          <w:sz w:val="18"/>
          <w:szCs w:val="18"/>
        </w:rPr>
        <w:br/>
        <w:t>    │ 15.│- Borderou de achiziţie (de la producători         │         │           │</w:t>
      </w:r>
      <w:r>
        <w:rPr>
          <w:sz w:val="18"/>
          <w:szCs w:val="18"/>
        </w:rPr>
        <w:br/>
      </w:r>
      <w:r>
        <w:rPr>
          <w:sz w:val="18"/>
          <w:szCs w:val="18"/>
        </w:rPr>
        <w:t>    │    │individuali)                                       │         │ 14-4-13/b │</w:t>
      </w:r>
      <w:r>
        <w:rPr>
          <w:sz w:val="18"/>
          <w:szCs w:val="18"/>
        </w:rPr>
        <w:br/>
        <w:t>    ├────┼───────────────────────────────────────────────────┼─────────┼───────────┤</w:t>
      </w:r>
      <w:r>
        <w:rPr>
          <w:sz w:val="18"/>
          <w:szCs w:val="18"/>
        </w:rPr>
        <w:br/>
        <w:t>    │ 16.│Decont pentru operaţiuni în participaţie           │ 14-4-14 │           │</w:t>
      </w:r>
      <w:r>
        <w:rPr>
          <w:sz w:val="18"/>
          <w:szCs w:val="18"/>
        </w:rPr>
        <w:br/>
        <w:t> </w:t>
      </w:r>
      <w:r>
        <w:rPr>
          <w:sz w:val="18"/>
          <w:szCs w:val="18"/>
        </w:rPr>
        <w:t>   ├────┼───────────────────────────────────────────────────┼─────────┼───────────┤</w:t>
      </w:r>
      <w:r>
        <w:rPr>
          <w:sz w:val="18"/>
          <w:szCs w:val="18"/>
        </w:rPr>
        <w:br/>
        <w:t>    │ 17.│Ordin de deplasare (delegaţie)                     │ 14-5-4  │           │</w:t>
      </w:r>
      <w:r>
        <w:rPr>
          <w:sz w:val="18"/>
          <w:szCs w:val="18"/>
        </w:rPr>
        <w:br/>
        <w:t>    ├────┼───────────────────────────────────────────────────┼─────────┼───────────┤</w:t>
      </w:r>
      <w:r>
        <w:rPr>
          <w:sz w:val="18"/>
          <w:szCs w:val="18"/>
        </w:rPr>
        <w:br/>
        <w:t>  </w:t>
      </w:r>
      <w:r>
        <w:rPr>
          <w:sz w:val="18"/>
          <w:szCs w:val="18"/>
        </w:rPr>
        <w:t>  │ 18.│- Ordin de deplasare (delegaţie) în străinătate    │         │           │</w:t>
      </w:r>
      <w:r>
        <w:rPr>
          <w:sz w:val="18"/>
          <w:szCs w:val="18"/>
        </w:rPr>
        <w:br/>
        <w:t>    │    │(transporturi internaţionale)                      │         │ 14-5-4/a  │</w:t>
      </w:r>
      <w:r>
        <w:rPr>
          <w:sz w:val="18"/>
          <w:szCs w:val="18"/>
        </w:rPr>
        <w:br/>
        <w:t>    ├────┼───────────────────────────────────────────────────┼─────────┼───────────┤</w:t>
      </w:r>
      <w:r>
        <w:rPr>
          <w:sz w:val="18"/>
          <w:szCs w:val="18"/>
        </w:rPr>
        <w:br/>
        <w:t>   </w:t>
      </w:r>
      <w:r>
        <w:rPr>
          <w:sz w:val="18"/>
          <w:szCs w:val="18"/>
        </w:rPr>
        <w:t> │ 19.│Decont de cheltuieli (pentru deplasări externe)    │ 14-5-5  │           │</w:t>
      </w:r>
      <w:r>
        <w:rPr>
          <w:sz w:val="18"/>
          <w:szCs w:val="18"/>
        </w:rPr>
        <w:br/>
        <w:t>    ├────┼───────────────────────────────────────────────────┼─────────┼───────────┤</w:t>
      </w:r>
      <w:r>
        <w:rPr>
          <w:sz w:val="18"/>
          <w:szCs w:val="18"/>
        </w:rPr>
        <w:br/>
        <w:t>    │ 20.│- Decont de cheltuieli valutare (transporturi      │         │           │</w:t>
      </w:r>
      <w:r>
        <w:rPr>
          <w:sz w:val="18"/>
          <w:szCs w:val="18"/>
        </w:rPr>
        <w:br/>
        <w:t>    </w:t>
      </w:r>
      <w:r>
        <w:rPr>
          <w:sz w:val="18"/>
          <w:szCs w:val="18"/>
        </w:rPr>
        <w:t>│    │internaţionale)                                    │         │ 14-5-5/a  │</w:t>
      </w:r>
      <w:r>
        <w:rPr>
          <w:sz w:val="18"/>
          <w:szCs w:val="18"/>
        </w:rPr>
        <w:br/>
        <w:t>    ├────┼───────────────────────────────────────────────────┼─────────┼───────────┤</w:t>
      </w:r>
      <w:r>
        <w:rPr>
          <w:sz w:val="18"/>
          <w:szCs w:val="18"/>
        </w:rPr>
        <w:br/>
        <w:t>    │ 21.│Notă de debitare-creditare                         │ 14-6-1A │           │</w:t>
      </w:r>
      <w:r>
        <w:rPr>
          <w:sz w:val="18"/>
          <w:szCs w:val="18"/>
        </w:rPr>
        <w:br/>
        <w:t>    ├</w:t>
      </w:r>
      <w:r>
        <w:rPr>
          <w:sz w:val="18"/>
          <w:szCs w:val="18"/>
        </w:rPr>
        <w:t>────┼───────────────────────────────────────────────────┼─────────┼───────────┤</w:t>
      </w:r>
      <w:r>
        <w:rPr>
          <w:sz w:val="18"/>
          <w:szCs w:val="18"/>
        </w:rPr>
        <w:br/>
        <w:t>    │ 22.│Fişă de cont pentru operaţiuni diverse             │ 14-6-22 │           │</w:t>
      </w:r>
      <w:r>
        <w:rPr>
          <w:sz w:val="18"/>
          <w:szCs w:val="18"/>
        </w:rPr>
        <w:br/>
        <w:t>    ├────┼───────────────────────────────────────────────────┼─────────┼───────────┤</w:t>
      </w:r>
      <w:r>
        <w:rPr>
          <w:sz w:val="18"/>
          <w:szCs w:val="18"/>
        </w:rPr>
        <w:br/>
        <w:t xml:space="preserve">    │ </w:t>
      </w:r>
      <w:r>
        <w:rPr>
          <w:sz w:val="18"/>
          <w:szCs w:val="18"/>
        </w:rPr>
        <w:t>23.│- Fişă de cont pentru operaţiuni diverse           │         │           │</w:t>
      </w:r>
      <w:r>
        <w:rPr>
          <w:sz w:val="18"/>
          <w:szCs w:val="18"/>
        </w:rPr>
        <w:br/>
        <w:t>    │    │(în valută şi în lei)                              │         │ 14-6-22/a │</w:t>
      </w:r>
      <w:r>
        <w:rPr>
          <w:sz w:val="18"/>
          <w:szCs w:val="18"/>
        </w:rPr>
        <w:br/>
        <w:t>    ├────┼───────────────────────────────────────────────────┼─────────┼───────────┤</w:t>
      </w:r>
      <w:r>
        <w:rPr>
          <w:sz w:val="18"/>
          <w:szCs w:val="18"/>
        </w:rPr>
        <w:br/>
        <w:t>    │ 2</w:t>
      </w:r>
      <w:r>
        <w:rPr>
          <w:sz w:val="18"/>
          <w:szCs w:val="18"/>
        </w:rPr>
        <w:t>4.│Decizie de imputare                                │ 14-8-2  │           │</w:t>
      </w:r>
      <w:r>
        <w:rPr>
          <w:sz w:val="18"/>
          <w:szCs w:val="18"/>
        </w:rPr>
        <w:br/>
        <w:t>    ├────┼───────────────────────────────────────────────────┼─────────┼───────────┤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    │ 25.│- Angajament de plată                              │         │ 14-8-2/a  │</w:t>
      </w:r>
      <w:r>
        <w:rPr>
          <w:sz w:val="18"/>
          <w:szCs w:val="18"/>
        </w:rPr>
        <w:br/>
        <w:t>    └───</w:t>
      </w:r>
      <w:r>
        <w:rPr>
          <w:sz w:val="18"/>
          <w:szCs w:val="18"/>
        </w:rPr>
        <w:t>─┴───────────────────────────────────────────────────┴─────────┴───────────┘</w:t>
      </w:r>
    </w:p>
    <w:p w:rsidR="0002684A" w:rsidRDefault="0002684A">
      <w:pPr>
        <w:spacing w:after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    -----</w:t>
      </w:r>
    </w:p>
    <w:sectPr w:rsidR="00026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2B"/>
    <w:rsid w:val="0002684A"/>
    <w:rsid w:val="0094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11E61-C4D3-4D6F-8A2F-BDDEDC50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="Verdan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38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Vlasceanu Dorina</dc:creator>
  <cp:keywords/>
  <dc:description/>
  <cp:lastModifiedBy>Vlasceanu Dorina</cp:lastModifiedBy>
  <cp:revision>2</cp:revision>
  <dcterms:created xsi:type="dcterms:W3CDTF">2018-02-13T11:52:00Z</dcterms:created>
  <dcterms:modified xsi:type="dcterms:W3CDTF">2018-02-13T11:52:00Z</dcterms:modified>
</cp:coreProperties>
</file>